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2025年3月31日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中证数据海峡国际大厦9层租赁项目（车位）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北京万华置业有限公司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北京万华置业有限公司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向</w:t>
            </w:r>
            <w:r>
              <w:rPr>
                <w:rFonts w:hint="eastAsia"/>
                <w:lang w:val="en-US" w:eastAsia="zh-CN"/>
              </w:rPr>
              <w:t>北京万华置业有限公司</w:t>
            </w:r>
            <w:r>
              <w:rPr>
                <w:rFonts w:hint="eastAsia"/>
                <w:lang w:eastAsia="zh-CN"/>
              </w:rPr>
              <w:t>租赁</w:t>
            </w:r>
            <w:r>
              <w:rPr>
                <w:rFonts w:hint="eastAsia" w:eastAsiaTheme="minorEastAsia"/>
                <w:lang w:eastAsia="zh-CN"/>
              </w:rPr>
              <w:t>海峡国际大厦停车位10个。租赁期限：自2025年5月10日至2028年5月9日。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海峡国际大厦车位租赁协议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432,000.00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E70154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3EDF1BE"/>
    <w:rsid w:val="361538CF"/>
    <w:rsid w:val="36D92528"/>
    <w:rsid w:val="38522B8D"/>
    <w:rsid w:val="3C474361"/>
    <w:rsid w:val="3C652A94"/>
    <w:rsid w:val="3E9DA5E7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C4F7887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77DE2E6D"/>
    <w:rsid w:val="7D7C10F7"/>
    <w:rsid w:val="7EB7CE6F"/>
    <w:rsid w:val="7FFC2B7B"/>
    <w:rsid w:val="7FFFEB86"/>
    <w:rsid w:val="D3DC93B8"/>
    <w:rsid w:val="EE537F0D"/>
    <w:rsid w:val="F7FB6C05"/>
    <w:rsid w:val="FFBB5E52"/>
    <w:rsid w:val="FF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2018-07-08T14:51:00Z</dcterms:created>
  <dc:creator>CN=许嘉/OU=综合业务部/OU=监测中心/O=CMSMC</dc:creator>
  <cp:lastModifiedBy>崔伟</cp:lastModifiedBy>
  <dcterms:modified xsi:type="dcterms:W3CDTF">2025-04-01T13:58:15Z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